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441DD" w:rsidRDefault="002441DD" w:rsidP="002441DD">
      <w:pPr>
        <w:spacing w:after="150" w:line="240" w:lineRule="auto"/>
        <w:ind w:left="300"/>
        <w:jc w:val="center"/>
        <w:outlineLvl w:val="0"/>
        <w:rPr>
          <w:rFonts w:ascii="Comfortaa" w:eastAsia="Times New Roman" w:hAnsi="Comfortaa" w:cs="Times New Roman"/>
          <w:color w:val="FB3F11"/>
          <w:kern w:val="36"/>
          <w:sz w:val="32"/>
          <w:szCs w:val="32"/>
          <w:lang w:eastAsia="bg-BG"/>
          <w14:ligatures w14:val="none"/>
        </w:rPr>
      </w:pPr>
      <w:r w:rsidRPr="002441DD">
        <w:rPr>
          <w:rFonts w:ascii="Comfortaa" w:eastAsia="Times New Roman" w:hAnsi="Comfortaa" w:cs="Times New Roman"/>
          <w:color w:val="FB3F11"/>
          <w:kern w:val="36"/>
          <w:sz w:val="32"/>
          <w:szCs w:val="32"/>
          <w:lang w:eastAsia="bg-BG"/>
          <w14:ligatures w14:val="none"/>
        </w:rPr>
        <w:t>Прием</w:t>
      </w:r>
    </w:p>
    <w:p w:rsidR="002441DD" w:rsidRPr="002441DD" w:rsidRDefault="002441DD" w:rsidP="002441DD">
      <w:pPr>
        <w:spacing w:after="150" w:line="240" w:lineRule="auto"/>
        <w:ind w:left="300"/>
        <w:jc w:val="center"/>
        <w:outlineLvl w:val="0"/>
        <w:rPr>
          <w:rFonts w:ascii="Comfortaa" w:eastAsia="Times New Roman" w:hAnsi="Comfortaa" w:cs="Times New Roman"/>
          <w:color w:val="FB3F11"/>
          <w:kern w:val="36"/>
          <w:sz w:val="32"/>
          <w:szCs w:val="32"/>
          <w:lang w:eastAsia="bg-BG"/>
          <w14:ligatures w14:val="none"/>
        </w:rPr>
      </w:pPr>
    </w:p>
    <w:p w:rsidR="002441DD" w:rsidRPr="002441DD" w:rsidRDefault="002441DD" w:rsidP="002441DD">
      <w:pPr>
        <w:spacing w:after="150" w:line="240" w:lineRule="auto"/>
        <w:ind w:firstLine="300"/>
        <w:rPr>
          <w:rFonts w:ascii="Verdana" w:eastAsia="Times New Roman" w:hAnsi="Verdana" w:cs="Times New Roman"/>
          <w:color w:val="252525"/>
          <w:kern w:val="0"/>
          <w:sz w:val="23"/>
          <w:szCs w:val="23"/>
          <w:lang w:eastAsia="bg-BG"/>
          <w14:ligatures w14:val="none"/>
        </w:rPr>
      </w:pPr>
      <w:r w:rsidRPr="002441DD">
        <w:rPr>
          <w:rFonts w:ascii="Verdana" w:eastAsia="Times New Roman" w:hAnsi="Verdana" w:cs="Times New Roman"/>
          <w:color w:val="252525"/>
          <w:kern w:val="0"/>
          <w:sz w:val="23"/>
          <w:szCs w:val="23"/>
          <w:lang w:eastAsia="bg-BG"/>
          <w14:ligatures w14:val="none"/>
        </w:rPr>
        <w:t>ДГ "</w:t>
      </w:r>
      <w:r>
        <w:rPr>
          <w:rFonts w:ascii="Verdana" w:eastAsia="Times New Roman" w:hAnsi="Verdana" w:cs="Times New Roman"/>
          <w:color w:val="252525"/>
          <w:kern w:val="0"/>
          <w:sz w:val="23"/>
          <w:szCs w:val="23"/>
          <w:lang w:eastAsia="bg-BG"/>
          <w14:ligatures w14:val="none"/>
        </w:rPr>
        <w:t>Никола Йонков Вапцаров</w:t>
      </w:r>
      <w:r w:rsidRPr="002441DD">
        <w:rPr>
          <w:rFonts w:ascii="Verdana" w:eastAsia="Times New Roman" w:hAnsi="Verdana" w:cs="Times New Roman"/>
          <w:color w:val="252525"/>
          <w:kern w:val="0"/>
          <w:sz w:val="23"/>
          <w:szCs w:val="23"/>
          <w:lang w:eastAsia="bg-BG"/>
          <w14:ligatures w14:val="none"/>
        </w:rPr>
        <w:t>" с.</w:t>
      </w:r>
      <w:r>
        <w:rPr>
          <w:rFonts w:ascii="Verdana" w:eastAsia="Times New Roman" w:hAnsi="Verdana" w:cs="Times New Roman"/>
          <w:color w:val="252525"/>
          <w:kern w:val="0"/>
          <w:sz w:val="23"/>
          <w:szCs w:val="23"/>
          <w:lang w:eastAsia="bg-BG"/>
          <w14:ligatures w14:val="none"/>
        </w:rPr>
        <w:t xml:space="preserve"> Гранит </w:t>
      </w:r>
      <w:r w:rsidRPr="002441DD">
        <w:rPr>
          <w:rFonts w:ascii="Verdana" w:eastAsia="Times New Roman" w:hAnsi="Verdana" w:cs="Times New Roman"/>
          <w:color w:val="252525"/>
          <w:kern w:val="0"/>
          <w:sz w:val="23"/>
          <w:szCs w:val="23"/>
          <w:lang w:eastAsia="bg-BG"/>
          <w14:ligatures w14:val="none"/>
        </w:rPr>
        <w:t>не е на делеги</w:t>
      </w:r>
      <w:r>
        <w:rPr>
          <w:rFonts w:ascii="Verdana" w:eastAsia="Times New Roman" w:hAnsi="Verdana" w:cs="Times New Roman"/>
          <w:color w:val="252525"/>
          <w:kern w:val="0"/>
          <w:sz w:val="23"/>
          <w:szCs w:val="23"/>
          <w:lang w:eastAsia="bg-BG"/>
          <w14:ligatures w14:val="none"/>
        </w:rPr>
        <w:t>р</w:t>
      </w:r>
      <w:r w:rsidRPr="002441DD">
        <w:rPr>
          <w:rFonts w:ascii="Verdana" w:eastAsia="Times New Roman" w:hAnsi="Verdana" w:cs="Times New Roman"/>
          <w:color w:val="252525"/>
          <w:kern w:val="0"/>
          <w:sz w:val="23"/>
          <w:szCs w:val="23"/>
          <w:lang w:eastAsia="bg-BG"/>
          <w14:ligatures w14:val="none"/>
        </w:rPr>
        <w:t>ан бюджет и броят на групите се определя от първостепенния разпоредител на бюджета, съгласно чл.5, ал.2 от Наредбата за финансирането на институциите в системата на предучилищното и училищното образование, съгласно Приложение №7 от същата Наредба и държавния образователен стандарт за физическата среда и информационното и библиотечното осигуряване на детските гради и училищата и центровете за личностно развитие.</w:t>
      </w:r>
    </w:p>
    <w:p w:rsidR="002441DD" w:rsidRPr="002441DD" w:rsidRDefault="002441DD" w:rsidP="002441DD">
      <w:pPr>
        <w:spacing w:after="150" w:line="240" w:lineRule="auto"/>
        <w:ind w:firstLine="300"/>
        <w:rPr>
          <w:rFonts w:ascii="Verdana" w:eastAsia="Times New Roman" w:hAnsi="Verdana" w:cs="Times New Roman"/>
          <w:color w:val="252525"/>
          <w:kern w:val="0"/>
          <w:sz w:val="23"/>
          <w:szCs w:val="23"/>
          <w:lang w:eastAsia="bg-BG"/>
          <w14:ligatures w14:val="none"/>
        </w:rPr>
      </w:pPr>
      <w:r w:rsidRPr="002441DD">
        <w:rPr>
          <w:rFonts w:ascii="Verdana" w:eastAsia="Times New Roman" w:hAnsi="Verdana" w:cs="Times New Roman"/>
          <w:b/>
          <w:bCs/>
          <w:color w:val="252525"/>
          <w:kern w:val="0"/>
          <w:sz w:val="23"/>
          <w:szCs w:val="23"/>
          <w:lang w:eastAsia="bg-BG"/>
          <w14:ligatures w14:val="none"/>
        </w:rPr>
        <w:t>В детската градина се приемат деца целогодишно.</w:t>
      </w:r>
    </w:p>
    <w:p w:rsidR="002441DD" w:rsidRPr="002441DD" w:rsidRDefault="002441DD" w:rsidP="002441DD">
      <w:pPr>
        <w:spacing w:after="150" w:line="240" w:lineRule="auto"/>
        <w:ind w:firstLine="300"/>
        <w:rPr>
          <w:rFonts w:ascii="Verdana" w:eastAsia="Times New Roman" w:hAnsi="Verdana" w:cs="Times New Roman"/>
          <w:color w:val="252525"/>
          <w:kern w:val="0"/>
          <w:sz w:val="23"/>
          <w:szCs w:val="23"/>
          <w:lang w:eastAsia="bg-BG"/>
          <w14:ligatures w14:val="none"/>
        </w:rPr>
      </w:pPr>
      <w:r w:rsidRPr="002441DD">
        <w:rPr>
          <w:rFonts w:ascii="Verdana" w:eastAsia="Times New Roman" w:hAnsi="Verdana" w:cs="Times New Roman"/>
          <w:color w:val="252525"/>
          <w:kern w:val="0"/>
          <w:sz w:val="23"/>
          <w:szCs w:val="23"/>
          <w:lang w:eastAsia="bg-BG"/>
          <w14:ligatures w14:val="none"/>
        </w:rPr>
        <w:t>Родителите ,желаещи децата им да посещават детската градина подават до директора заявление, придружено с копие от удостоверението за раждане на детето.</w:t>
      </w:r>
    </w:p>
    <w:p w:rsidR="002441DD" w:rsidRPr="002441DD" w:rsidRDefault="002441DD" w:rsidP="002441DD">
      <w:pPr>
        <w:spacing w:after="150" w:line="240" w:lineRule="auto"/>
        <w:ind w:firstLine="300"/>
        <w:rPr>
          <w:rFonts w:ascii="Verdana" w:eastAsia="Times New Roman" w:hAnsi="Verdana" w:cs="Times New Roman"/>
          <w:color w:val="252525"/>
          <w:kern w:val="0"/>
          <w:sz w:val="23"/>
          <w:szCs w:val="23"/>
          <w:lang w:eastAsia="bg-BG"/>
          <w14:ligatures w14:val="none"/>
        </w:rPr>
      </w:pPr>
      <w:r w:rsidRPr="002441DD">
        <w:rPr>
          <w:rFonts w:ascii="Verdana" w:eastAsia="Times New Roman" w:hAnsi="Verdana" w:cs="Times New Roman"/>
          <w:color w:val="252525"/>
          <w:kern w:val="0"/>
          <w:sz w:val="23"/>
          <w:szCs w:val="23"/>
          <w:lang w:eastAsia="bg-BG"/>
          <w14:ligatures w14:val="none"/>
        </w:rPr>
        <w:t>След утвърдителна резолюция от директора на детската градина, родителите изготвят всички изискуеми от РЗИ към момента на тръгването медицински документи и ги предоставят предварително на директора.</w:t>
      </w:r>
    </w:p>
    <w:p w:rsidR="002441DD" w:rsidRPr="002441DD" w:rsidRDefault="002441DD" w:rsidP="002441DD">
      <w:pPr>
        <w:spacing w:after="150" w:line="240" w:lineRule="auto"/>
        <w:ind w:firstLine="300"/>
        <w:rPr>
          <w:rFonts w:ascii="Verdana" w:eastAsia="Times New Roman" w:hAnsi="Verdana" w:cs="Times New Roman"/>
          <w:color w:val="252525"/>
          <w:kern w:val="0"/>
          <w:sz w:val="23"/>
          <w:szCs w:val="23"/>
          <w:lang w:eastAsia="bg-BG"/>
          <w14:ligatures w14:val="none"/>
        </w:rPr>
      </w:pPr>
      <w:r w:rsidRPr="002441DD">
        <w:rPr>
          <w:rFonts w:ascii="Verdana" w:eastAsia="Times New Roman" w:hAnsi="Verdana" w:cs="Times New Roman"/>
          <w:color w:val="252525"/>
          <w:kern w:val="0"/>
          <w:sz w:val="23"/>
          <w:szCs w:val="23"/>
          <w:lang w:eastAsia="bg-BG"/>
          <w14:ligatures w14:val="none"/>
        </w:rPr>
        <w:t>Децата се отписват от детска градина в следните случаи:</w:t>
      </w:r>
    </w:p>
    <w:p w:rsidR="002441DD" w:rsidRPr="002441DD" w:rsidRDefault="002441DD" w:rsidP="002441DD">
      <w:pPr>
        <w:spacing w:after="150" w:line="240" w:lineRule="auto"/>
        <w:rPr>
          <w:rFonts w:ascii="Verdana" w:eastAsia="Times New Roman" w:hAnsi="Verdana" w:cs="Times New Roman"/>
          <w:color w:val="252525"/>
          <w:kern w:val="0"/>
          <w:sz w:val="23"/>
          <w:szCs w:val="23"/>
          <w:lang w:eastAsia="bg-BG"/>
          <w14:ligatures w14:val="none"/>
        </w:rPr>
      </w:pPr>
      <w:r w:rsidRPr="002441DD">
        <w:rPr>
          <w:rFonts w:ascii="Verdana" w:eastAsia="Times New Roman" w:hAnsi="Verdana" w:cs="Times New Roman"/>
          <w:color w:val="252525"/>
          <w:kern w:val="0"/>
          <w:sz w:val="23"/>
          <w:szCs w:val="23"/>
          <w:lang w:eastAsia="bg-BG"/>
          <w14:ligatures w14:val="none"/>
        </w:rPr>
        <w:t>- Пожелание на родителите;</w:t>
      </w:r>
    </w:p>
    <w:p w:rsidR="002441DD" w:rsidRPr="002441DD" w:rsidRDefault="002441DD" w:rsidP="002441DD">
      <w:pPr>
        <w:spacing w:after="150" w:line="240" w:lineRule="auto"/>
        <w:rPr>
          <w:rFonts w:ascii="Verdana" w:eastAsia="Times New Roman" w:hAnsi="Verdana" w:cs="Times New Roman"/>
          <w:color w:val="252525"/>
          <w:kern w:val="0"/>
          <w:sz w:val="23"/>
          <w:szCs w:val="23"/>
          <w:lang w:eastAsia="bg-BG"/>
          <w14:ligatures w14:val="none"/>
        </w:rPr>
      </w:pPr>
      <w:r w:rsidRPr="002441DD">
        <w:rPr>
          <w:rFonts w:ascii="Verdana" w:eastAsia="Times New Roman" w:hAnsi="Verdana" w:cs="Times New Roman"/>
          <w:color w:val="252525"/>
          <w:kern w:val="0"/>
          <w:sz w:val="23"/>
          <w:szCs w:val="23"/>
          <w:lang w:eastAsia="bg-BG"/>
          <w14:ligatures w14:val="none"/>
        </w:rPr>
        <w:t>- след завършване на подготвителна група, но не по - късно от 14.09. в годината на завършване;</w:t>
      </w:r>
    </w:p>
    <w:p w:rsidR="002441DD" w:rsidRPr="002441DD" w:rsidRDefault="002441DD" w:rsidP="002441DD">
      <w:pPr>
        <w:spacing w:after="150" w:line="240" w:lineRule="auto"/>
        <w:rPr>
          <w:rFonts w:ascii="Verdana" w:eastAsia="Times New Roman" w:hAnsi="Verdana" w:cs="Times New Roman"/>
          <w:color w:val="252525"/>
          <w:kern w:val="0"/>
          <w:sz w:val="23"/>
          <w:szCs w:val="23"/>
          <w:lang w:eastAsia="bg-BG"/>
          <w14:ligatures w14:val="none"/>
        </w:rPr>
      </w:pPr>
      <w:r w:rsidRPr="002441DD">
        <w:rPr>
          <w:rFonts w:ascii="Verdana" w:eastAsia="Times New Roman" w:hAnsi="Verdana" w:cs="Times New Roman"/>
          <w:color w:val="252525"/>
          <w:kern w:val="0"/>
          <w:sz w:val="23"/>
          <w:szCs w:val="23"/>
          <w:lang w:eastAsia="bg-BG"/>
          <w14:ligatures w14:val="none"/>
        </w:rPr>
        <w:t>- при неспазване от страна на родителите на вътрешните правила в детската градина,</w:t>
      </w:r>
      <w:r>
        <w:rPr>
          <w:rFonts w:ascii="Verdana" w:eastAsia="Times New Roman" w:hAnsi="Verdana" w:cs="Times New Roman"/>
          <w:color w:val="252525"/>
          <w:kern w:val="0"/>
          <w:sz w:val="23"/>
          <w:szCs w:val="23"/>
          <w:lang w:eastAsia="bg-BG"/>
          <w14:ligatures w14:val="none"/>
        </w:rPr>
        <w:t xml:space="preserve"> </w:t>
      </w:r>
      <w:r w:rsidRPr="002441DD">
        <w:rPr>
          <w:rFonts w:ascii="Verdana" w:eastAsia="Times New Roman" w:hAnsi="Verdana" w:cs="Times New Roman"/>
          <w:color w:val="252525"/>
          <w:kern w:val="0"/>
          <w:sz w:val="23"/>
          <w:szCs w:val="23"/>
          <w:lang w:eastAsia="bg-BG"/>
          <w14:ligatures w14:val="none"/>
        </w:rPr>
        <w:t>установени от Правилника на детск</w:t>
      </w:r>
      <w:r>
        <w:rPr>
          <w:rFonts w:ascii="Verdana" w:eastAsia="Times New Roman" w:hAnsi="Verdana" w:cs="Times New Roman"/>
          <w:color w:val="252525"/>
          <w:kern w:val="0"/>
          <w:sz w:val="23"/>
          <w:szCs w:val="23"/>
          <w:lang w:eastAsia="bg-BG"/>
          <w14:ligatures w14:val="none"/>
        </w:rPr>
        <w:t>а</w:t>
      </w:r>
      <w:r w:rsidRPr="002441DD">
        <w:rPr>
          <w:rFonts w:ascii="Verdana" w:eastAsia="Times New Roman" w:hAnsi="Verdana" w:cs="Times New Roman"/>
          <w:color w:val="252525"/>
          <w:kern w:val="0"/>
          <w:sz w:val="23"/>
          <w:szCs w:val="23"/>
          <w:lang w:eastAsia="bg-BG"/>
          <w14:ligatures w14:val="none"/>
        </w:rPr>
        <w:t>та градина,</w:t>
      </w:r>
      <w:r>
        <w:rPr>
          <w:rFonts w:ascii="Verdana" w:eastAsia="Times New Roman" w:hAnsi="Verdana" w:cs="Times New Roman"/>
          <w:color w:val="252525"/>
          <w:kern w:val="0"/>
          <w:sz w:val="23"/>
          <w:szCs w:val="23"/>
          <w:lang w:eastAsia="bg-BG"/>
          <w14:ligatures w14:val="none"/>
        </w:rPr>
        <w:t xml:space="preserve"> </w:t>
      </w:r>
      <w:r w:rsidRPr="002441DD">
        <w:rPr>
          <w:rFonts w:ascii="Verdana" w:eastAsia="Times New Roman" w:hAnsi="Verdana" w:cs="Times New Roman"/>
          <w:color w:val="252525"/>
          <w:kern w:val="0"/>
          <w:sz w:val="23"/>
          <w:szCs w:val="23"/>
          <w:lang w:eastAsia="bg-BG"/>
          <w14:ligatures w14:val="none"/>
        </w:rPr>
        <w:t>ПВТР,</w:t>
      </w:r>
      <w:r>
        <w:rPr>
          <w:rFonts w:ascii="Verdana" w:eastAsia="Times New Roman" w:hAnsi="Verdana" w:cs="Times New Roman"/>
          <w:color w:val="252525"/>
          <w:kern w:val="0"/>
          <w:sz w:val="23"/>
          <w:szCs w:val="23"/>
          <w:lang w:eastAsia="bg-BG"/>
          <w14:ligatures w14:val="none"/>
        </w:rPr>
        <w:t xml:space="preserve"> </w:t>
      </w:r>
      <w:r w:rsidRPr="002441DD">
        <w:rPr>
          <w:rFonts w:ascii="Verdana" w:eastAsia="Times New Roman" w:hAnsi="Verdana" w:cs="Times New Roman"/>
          <w:color w:val="252525"/>
          <w:kern w:val="0"/>
          <w:sz w:val="23"/>
          <w:szCs w:val="23"/>
          <w:lang w:eastAsia="bg-BG"/>
          <w14:ligatures w14:val="none"/>
        </w:rPr>
        <w:t>ПБУВОТ и разпорежданията на ръководството;</w:t>
      </w:r>
    </w:p>
    <w:p w:rsidR="002441DD" w:rsidRPr="002441DD" w:rsidRDefault="002441DD" w:rsidP="002441DD">
      <w:pPr>
        <w:spacing w:after="150" w:line="240" w:lineRule="auto"/>
        <w:rPr>
          <w:rFonts w:ascii="Verdana" w:eastAsia="Times New Roman" w:hAnsi="Verdana" w:cs="Times New Roman"/>
          <w:color w:val="252525"/>
          <w:kern w:val="0"/>
          <w:sz w:val="23"/>
          <w:szCs w:val="23"/>
          <w:lang w:eastAsia="bg-BG"/>
          <w14:ligatures w14:val="none"/>
        </w:rPr>
      </w:pPr>
      <w:r w:rsidRPr="002441DD">
        <w:rPr>
          <w:rFonts w:ascii="Verdana" w:eastAsia="Times New Roman" w:hAnsi="Verdana" w:cs="Times New Roman"/>
          <w:color w:val="252525"/>
          <w:kern w:val="0"/>
          <w:sz w:val="23"/>
          <w:szCs w:val="23"/>
          <w:lang w:eastAsia="bg-BG"/>
          <w14:ligatures w14:val="none"/>
        </w:rPr>
        <w:t>-при непрекъснати отсъствия на децата за срок, по - голям от два месеца, неподкрепени с документи, свързани с прекъсването.</w:t>
      </w:r>
    </w:p>
    <w:p w:rsidR="002441DD" w:rsidRDefault="002441DD"/>
    <w:sectPr w:rsidR="002441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mfortaa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1DD"/>
    <w:rsid w:val="002441DD"/>
    <w:rsid w:val="00396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00667"/>
  <w15:chartTrackingRefBased/>
  <w15:docId w15:val="{B4C52EA9-C93D-4624-AEA8-8833A0C7C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41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41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41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41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41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41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41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41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41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2441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2441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2441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2441D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2441DD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2441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2441D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2441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2441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41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2441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41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2441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41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2441D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41D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441D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441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2441D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441D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UEFI</dc:creator>
  <cp:keywords/>
  <dc:description/>
  <cp:lastModifiedBy>UEFI</cp:lastModifiedBy>
  <cp:revision>1</cp:revision>
  <dcterms:created xsi:type="dcterms:W3CDTF">2025-09-25T04:39:00Z</dcterms:created>
  <dcterms:modified xsi:type="dcterms:W3CDTF">2025-09-25T04:41:00Z</dcterms:modified>
</cp:coreProperties>
</file>